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Anexo 2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Planos de Distribución / Plano de Arquitectura del INMUEBLE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Arial" w:cs="Arial"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0">
            <wp:simplePos x="0" y="0"/>
            <wp:positionH relativeFrom="page">
              <wp:align>center</wp:align>
            </wp:positionH>
            <wp:positionV relativeFrom="paragraph">
              <wp:align>top</wp:align>
            </wp:positionV>
            <wp:extent cx="5032375" cy="7586980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758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En el Plano se aprecia cuáles muros son de Drywall, siendo el resto de material noble. Asimismo, la ubicación y/o tiraje (forma de abrir) de las ventanas y/o puertas quedará a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</w:pP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La distribución de los ambientes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 xml:space="preserve">INMUEBLE </w:t>
      </w:r>
      <w:r>
        <w:rPr>
          <w:rFonts w:eastAsia="Arial" w:cs="Arial" w:ascii="Arial" w:hAnsi="Arial"/>
          <w:i/>
          <w:iCs/>
          <w:color w:val="222222"/>
          <w:sz w:val="19"/>
          <w:szCs w:val="19"/>
        </w:rPr>
        <w:t xml:space="preserve">dependerá de la ubicación del mismo dentro del </w:t>
      </w:r>
      <w:r>
        <w:rPr>
          <w:rFonts w:eastAsia="Arial" w:cs="Arial" w:ascii="Arial" w:hAnsi="Arial"/>
          <w:b/>
          <w:bCs/>
          <w:i/>
          <w:iCs/>
          <w:color w:val="222222"/>
          <w:sz w:val="19"/>
          <w:szCs w:val="19"/>
        </w:rPr>
        <w:t>TERRENO</w:t>
      </w:r>
    </w:p>
    <w:sectPr>
      <w:footerReference w:type="default" r:id="rId3"/>
      <w:type w:val="nextPage"/>
      <w:pgSz w:w="11906" w:h="16838"/>
      <w:pgMar w:left="1701" w:right="1701" w:header="0" w:top="1395" w:footer="968" w:bottom="1507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Página </w:t>
    </w:r>
    <w:r>
      <w:rPr>
        <w:rFonts w:ascii="Calibri" w:hAnsi="Calibri"/>
        <w:sz w:val="22"/>
        <w:szCs w:val="22"/>
      </w:rPr>
      <w:t>18</w:t>
    </w:r>
    <w:r>
      <w:rPr>
        <w:rFonts w:ascii="Calibri" w:hAnsi="Calibri"/>
        <w:sz w:val="22"/>
        <w:szCs w:val="22"/>
      </w:rPr>
      <w:t xml:space="preserve"> de  22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s-ES" w:eastAsia="zh-CN" w:bidi="ar-SA"/>
    </w:rPr>
  </w:style>
  <w:style w:type="paragraph" w:styleId="Encabezado1">
    <w:name w:val="Encabezado 1"/>
    <w:basedOn w:val="Normal"/>
    <w:next w:val="Normal"/>
    <w:pPr>
      <w:keepNext/>
      <w:jc w:val="right"/>
      <w:outlineLvl w:val="0"/>
    </w:pPr>
    <w:rPr>
      <w:sz w:val="28"/>
      <w:lang w:val="es-PE"/>
    </w:rPr>
  </w:style>
  <w:style w:type="character" w:styleId="WW8Num1z0">
    <w:name w:val="WW8Num1z0"/>
    <w:rPr>
      <w:rFonts w:ascii="Times New Roman" w:hAnsi="Times New Roman" w:eastAsia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Fuentedeprrafopredeter">
    <w:name w:val="Fuente de párrafo predeter."/>
    <w:rPr/>
  </w:style>
  <w:style w:type="character" w:styleId="EncabezadoCar">
    <w:name w:val="Encabezado Car"/>
    <w:rPr>
      <w:lang w:val="es-ES"/>
    </w:rPr>
  </w:style>
  <w:style w:type="character" w:styleId="PiedepginaCar">
    <w:name w:val="Pie de página Car"/>
    <w:rPr>
      <w:lang w:val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uerpodetextoconsangra">
    <w:name w:val="Cuerpo de texto con sangría"/>
    <w:basedOn w:val="Normal"/>
    <w:pPr>
      <w:ind w:left="0" w:right="0" w:firstLine="708"/>
      <w:jc w:val="both"/>
    </w:pPr>
    <w:rPr>
      <w:sz w:val="24"/>
      <w:lang w:val="es-PE"/>
    </w:rPr>
  </w:style>
  <w:style w:type="paragraph" w:styleId="Textodeglobo">
    <w:name w:val="Texto de globo"/>
    <w:basedOn w:val="Normal"/>
    <w:pPr/>
    <w:rPr>
      <w:rFonts w:ascii="Tahoma" w:hAnsi="Tahoma" w:cs="Tahoma"/>
      <w:sz w:val="16"/>
      <w:szCs w:val="16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2016-11-10T20:28:00Z</dcterms:created>
  <dc:creator>DIEGO TELLO NECIOSUP</dc:creator>
  <dc:language>es-ES</dc:language>
  <cp:lastModifiedBy>Full name</cp:lastModifiedBy>
  <cp:lastPrinted>2014-07-18T19:07:00Z</cp:lastPrinted>
  <dcterms:modified xsi:type="dcterms:W3CDTF">2016-11-10T20:28:00Z</dcterms:modified>
  <cp:revision>2</cp:revision>
  <dc:title>SOLICITO: Licencia de Obra</dc:title>
</cp:coreProperties>
</file>