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4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5391150" cy="431482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Departamento:   LA  LIBERTAD</w:t>
        <w:tab/>
        <w:t xml:space="preserve">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- UC 04377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“A” Lote Nº 05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151.20 m2</w:t>
      </w:r>
      <w:r>
        <w:rPr>
          <w:lang w:val="es-PE"/>
        </w:rPr>
        <w:t xml:space="preserve"> (Ciento cincuenta y uno punto veinte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57.20 ml</w:t>
      </w:r>
      <w:r>
        <w:rPr>
          <w:lang w:val="es-PE"/>
        </w:rPr>
        <w:t xml:space="preserve"> (Cincuenta y siete punto veinte metros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el Pasaje  N° 02 y el lote N° 04 con 21.60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lote N° 17 (Parque N° 01) con 7.00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 Con el Lote N° 06 con 7.00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 </w:t>
      </w:r>
      <w:r>
        <w:rPr>
          <w:lang w:val="es-PE"/>
        </w:rPr>
        <w:t xml:space="preserve"> Con los lotes N° 14, N° 15 y N° 16 con 21.60 ml.</w:t>
      </w:r>
    </w:p>
    <w:sectPr>
      <w:type w:val="nextPage"/>
      <w:pgSz w:w="11906" w:h="16838"/>
      <w:pgMar w:left="1701" w:right="1701" w:header="0" w:top="709" w:footer="0" w:bottom="56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4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2016-06-07T21:41:00Z</dcterms:created>
  <dc:creator>DIEGO TELLO NECIOSUP</dc:creator>
  <dc:language>es-ES</dc:language>
  <cp:lastModifiedBy>Juan Carlos Montoya</cp:lastModifiedBy>
  <cp:lastPrinted>2014-07-19T00:07:00Z</cp:lastPrinted>
  <dcterms:modified xsi:type="dcterms:W3CDTF">2016-06-07T21:41:00Z</dcterms:modified>
  <cp:revision>2</cp:revision>
  <dc:title>SOLICITO: Licencia de Obra</dc:title>
</cp:coreProperties>
</file>