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9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3952875" cy="493903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9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09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138.86 m2</w:t>
      </w:r>
      <w:r>
        <w:rPr>
          <w:lang w:val="es-PE"/>
        </w:rPr>
        <w:t xml:space="preserve">  (Ciento treinta y ocho punto ochenta y séis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54.04 ml</w:t>
      </w:r>
      <w:r>
        <w:rPr>
          <w:lang w:val="es-PE"/>
        </w:rPr>
        <w:t xml:space="preserve"> (Cincuenta y cuatro punto cero cuatro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y N° 07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Propiedad de terceros con una línea quebrada en tres tramos de 11.44  ml, 9.75 ml. y 0.29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N° 08 con 16.61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Propiedad de Terceros con 1.95 ml. </w:t>
      </w:r>
    </w:p>
    <w:p>
      <w:pPr>
        <w:pStyle w:val="Normal"/>
        <w:tabs>
          <w:tab w:val="left" w:pos="6120" w:leader="none"/>
        </w:tabs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left" w:pos="6120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