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Arial" w:cs="Arial"/>
          <w:b/>
          <w:u w:val="single"/>
        </w:rPr>
      </w:pPr>
      <w:r>
        <w:rPr>
          <w:rFonts w:eastAsia="Arial" w:cs="Arial"/>
          <w:b/>
          <w:u w:val="single"/>
        </w:rPr>
        <w:t>CONTRATO DE COMPRAVENTA DE BIEN FUTURO</w:t>
      </w:r>
    </w:p>
    <w:p>
      <w:pPr>
        <w:pStyle w:val="Normal"/>
        <w:spacing w:lineRule="auto" w:line="240" w:before="0" w:after="0"/>
        <w:jc w:val="center"/>
        <w:rPr>
          <w:rFonts w:eastAsia="Arial" w:cs="Arial"/>
          <w:u w:val="single"/>
        </w:rPr>
      </w:pPr>
      <w:r>
        <w:rPr>
          <w:rFonts w:eastAsia="Arial" w:cs="Arial"/>
          <w:u w:val="single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5042535</wp:posOffset>
            </wp:positionH>
            <wp:positionV relativeFrom="paragraph">
              <wp:posOffset>39370</wp:posOffset>
            </wp:positionV>
            <wp:extent cx="333375" cy="35242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zh-CN"/>
        </w:rPr>
      </w:pPr>
      <w:bookmarkStart w:id="0" w:name="__UnoMark__13360_1367966772"/>
      <w:bookmarkEnd w:id="0"/>
      <w:r>
        <w:rPr>
          <w:rFonts w:eastAsia="Times New Roman" w:cs="Arial"/>
          <w:lang w:eastAsia="zh-CN"/>
        </w:rPr>
        <w:t>Señor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Notario: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eastAsia="Arial" w:cs="Arial"/>
          <w:lang w:eastAsia="zh-CN"/>
        </w:rPr>
      </w:pPr>
      <w:r>
        <w:rPr>
          <w:rFonts w:eastAsia="Times New Roman" w:cs="Arial"/>
          <w:lang w:eastAsia="zh-CN"/>
        </w:rPr>
        <w:t>Sírvase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usted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extender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en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su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registro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de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Escrituras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Públicas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el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CONTRATO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DE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COMPRAVENTA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DE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BIEN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Times New Roman" w:cs="Arial"/>
          <w:b/>
          <w:bCs/>
          <w:lang w:eastAsia="zh-CN"/>
        </w:rPr>
        <w:t>FUTURO</w:t>
      </w:r>
      <w:r>
        <w:rPr>
          <w:rFonts w:eastAsia="Arial" w:cs="Arial"/>
          <w:b/>
          <w:bCs/>
          <w:lang w:eastAsia="zh-CN"/>
        </w:rPr>
        <w:t xml:space="preserve"> </w:t>
      </w:r>
      <w:r>
        <w:rPr>
          <w:rFonts w:eastAsia="Arial" w:cs="Arial"/>
          <w:bCs/>
          <w:lang w:eastAsia="zh-CN"/>
        </w:rPr>
        <w:t xml:space="preserve">(en adelante, el Contrato) </w:t>
      </w:r>
      <w:r>
        <w:rPr>
          <w:rFonts w:eastAsia="Times New Roman" w:cs="Arial"/>
          <w:lang w:eastAsia="zh-CN"/>
        </w:rPr>
        <w:t>que</w:t>
      </w:r>
      <w:r>
        <w:rPr>
          <w:rFonts w:eastAsia="Arial" w:cs="Arial"/>
          <w:lang w:eastAsia="zh-CN"/>
        </w:rPr>
        <w:t xml:space="preserve"> </w:t>
      </w:r>
      <w:r>
        <w:rPr>
          <w:rFonts w:eastAsia="Times New Roman" w:cs="Arial"/>
          <w:lang w:eastAsia="zh-CN"/>
        </w:rPr>
        <w:t>celebran:</w:t>
      </w:r>
      <w:r>
        <w:rPr>
          <w:rFonts w:eastAsia="Arial" w:cs="Arial"/>
          <w:lang w:eastAsia="zh-CN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eastAsia="Times New Roman" w:cs="Arial"/>
          <w:bCs/>
          <w:color w:val="000000"/>
          <w:shd w:fill="FFFFFF" w:val="clear"/>
          <w:lang w:eastAsia="es-PE"/>
        </w:rPr>
      </w:pPr>
      <w:r>
        <w:rPr>
          <w:rFonts w:eastAsia="Times New Roman" w:ascii="Times New Roman" w:hAnsi="Times New Roman"/>
          <w:b/>
          <w:bCs/>
          <w:color w:val="500050"/>
          <w:sz w:val="24"/>
          <w:szCs w:val="24"/>
          <w:shd w:fill="FFFFFF" w:val="clear"/>
          <w:lang w:eastAsia="es-PE"/>
        </w:rPr>
        <w:br/>
      </w:r>
      <w:r>
        <w:rPr>
          <w:rFonts w:eastAsia="Times New Roman" w:cs="Arial"/>
          <w:b/>
          <w:bCs/>
          <w:color w:val="000000"/>
          <w:shd w:fill="FFFFFF" w:val="clear"/>
          <w:lang w:eastAsia="es-PE"/>
        </w:rPr>
        <w:t>CONSTRUCTORA GALILEA S.A.C</w:t>
      </w:r>
      <w:r>
        <w:rPr>
          <w:rFonts w:eastAsia="Times New Roman" w:cs="Arial"/>
          <w:color w:val="000000"/>
          <w:shd w:fill="FFFFFF" w:val="clear"/>
          <w:lang w:eastAsia="es-PE"/>
        </w:rPr>
        <w:t>., con RUC N° 20521119943, con domicilio en Av. Primavera N° 1796, Sexto Piso, Urbanización Monterrico, distrito de Santiago de Surco, provincia y departamento de Lima, debidamente representada por dos cualesquiera de los siguientes representantes, según poderes inscritos en la Partida N° 12269028 del Registro de Personas Jurídicas de Lima, a quien en adelante se le denominará “</w:t>
      </w:r>
      <w:r>
        <w:rPr>
          <w:rFonts w:eastAsia="Times New Roman" w:cs="Arial"/>
          <w:b/>
          <w:bCs/>
          <w:color w:val="000000"/>
          <w:shd w:fill="FFFFFF" w:val="clear"/>
          <w:lang w:eastAsia="es-PE"/>
        </w:rPr>
        <w:t>EL VENDEDOR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”: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eastAsia="Times New Roman" w:cs="Arial"/>
          <w:color w:val="000000"/>
          <w:shd w:fill="FFFFFF" w:val="clear"/>
          <w:lang w:eastAsia="es-PE"/>
        </w:rPr>
      </w:pPr>
      <w:r>
        <w:rPr>
          <w:rFonts w:eastAsia="Times New Roman" w:cs="Arial"/>
          <w:color w:val="000000"/>
          <w:shd w:fill="FFFFFF" w:val="clear"/>
          <w:lang w:eastAsia="es-PE"/>
        </w:rPr>
        <w:t> 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eastAsia="Times New Roman" w:cs="Arial"/>
          <w:color w:val="000000"/>
          <w:lang w:eastAsia="es-PE"/>
        </w:rPr>
      </w:pPr>
      <w:r>
        <w:rPr>
          <w:rFonts w:eastAsia="Times New Roman" w:cs="Arial"/>
          <w:color w:val="000000"/>
          <w:lang w:eastAsia="es-PE"/>
        </w:rPr>
        <w:t> </w:t>
      </w:r>
      <w:r>
        <w:pict>
          <v:rect fillcolor="#FFFFFF" strokecolor="#000000" strokeweight="0pt" style="position:absolute;width:424.35pt;height:94.55pt;mso-wrap-distance-left:7.05pt;mso-wrap-distance-right:7.05pt;mso-wrap-distance-top:0pt;mso-wrap-distance-bottom:0pt;margin-top:0pt;margin-left:3.05pt">
            <v:textbox inset="0in,0in,0in,0in">
              <w:txbxContent>
                <w:tbl>
                  <w:tblPr>
                    <w:jc w:val="left"/>
                    <w:tblInd w:w="99" w:type="dxa"/>
                    <w:tblBorders>
                      <w:top w:val="single" w:sz="8" w:space="0" w:color="00000A"/>
                      <w:left w:val="single" w:sz="8" w:space="0" w:color="00000A"/>
                      <w:bottom w:val="single" w:sz="8" w:space="0" w:color="00000A"/>
                      <w:insideH w:val="single" w:sz="8" w:space="0" w:color="00000A"/>
                      <w:right w:val="single" w:sz="8" w:space="0" w:color="00000A"/>
                      <w:insideV w:val="single" w:sz="8" w:space="0" w:color="00000A"/>
                    </w:tblBorders>
                    <w:tblCellMar>
                      <w:top w:w="0" w:type="dxa"/>
                      <w:left w:w="88" w:type="dxa"/>
                      <w:bottom w:w="0" w:type="dxa"/>
                      <w:right w:w="108" w:type="dxa"/>
                    </w:tblCellMar>
                  </w:tblPr>
                  <w:tblGrid>
                    <w:gridCol w:w="4112"/>
                    <w:gridCol w:w="2186"/>
                    <w:gridCol w:w="2189"/>
                  </w:tblGrid>
                  <w:tr>
                    <w:trPr>
                      <w:trHeight w:val="78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BFBFB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uto" w:line="240" w:before="0" w:after="0"/>
                          <w:jc w:val="both"/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  <w:t>Nombre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8" w:space="0" w:color="00000A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BFBFB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uto" w:line="240" w:before="0" w:after="0"/>
                          <w:jc w:val="both"/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  <w:t>DNI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8" w:space="0" w:color="00000A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BFBFB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uto" w:line="240" w:before="0" w:after="0"/>
                          <w:jc w:val="both"/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bCs/>
                            <w:color w:val="000000"/>
                            <w:lang w:eastAsia="es-PE"/>
                          </w:rPr>
                          <w:t>Asiento</w:t>
                        </w:r>
                      </w:p>
                    </w:tc>
                  </w:tr>
                  <w:tr>
                    <w:trPr>
                      <w:trHeight w:val="272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nil"/>
                          <w:left w:val="single" w:sz="8" w:space="0" w:color="00000A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Ernesto Adolfo Roca Dammert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09880290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C0009 – D0003</w:t>
                        </w:r>
                      </w:p>
                    </w:tc>
                  </w:tr>
                  <w:tr>
                    <w:trPr>
                      <w:trHeight w:val="237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nil"/>
                          <w:left w:val="single" w:sz="8" w:space="0" w:color="00000A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Alfredo Martin Trabucco Quea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07807567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single" w:sz="8" w:space="0" w:color="00000A"/>
                          <w:insideH w:val="single" w:sz="8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C00026</w:t>
                        </w:r>
                      </w:p>
                    </w:tc>
                  </w:tr>
                  <w:tr>
                    <w:trPr>
                      <w:trHeight w:val="22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nil"/>
                          <w:left w:val="single" w:sz="8" w:space="0" w:color="00000A"/>
                          <w:bottom w:val="single" w:sz="4" w:space="0" w:color="00000A"/>
                          <w:insideH w:val="single" w:sz="4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8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Luis Germán Lituma Sánchez checa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00000A"/>
                          <w:insideH w:val="single" w:sz="4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10802480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nil"/>
                          <w:left w:val="nil"/>
                          <w:bottom w:val="single" w:sz="4" w:space="0" w:color="00000A"/>
                          <w:insideH w:val="single" w:sz="4" w:space="0" w:color="00000A"/>
                          <w:right w:val="single" w:sz="8" w:space="0" w:color="00000A"/>
                          <w:insideV w:val="single" w:sz="8" w:space="0" w:color="00000A"/>
                        </w:tcBorders>
                        <w:shd w:fill="FFFFFF" w:val="clear"/>
                        <w:tcMar>
                          <w:left w:w="108" w:type="dxa"/>
                        </w:tcMar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C00014</w:t>
                        </w:r>
                      </w:p>
                    </w:tc>
                  </w:tr>
                  <w:tr>
                    <w:trPr>
                      <w:trHeight w:val="221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Silvana Blima Martínez Mansilla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40291610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C00020</w:t>
                        </w:r>
                      </w:p>
                    </w:tc>
                  </w:tr>
                  <w:tr>
                    <w:trPr>
                      <w:trHeight w:val="221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Yuri Gerard Summers Hoyle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09347710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C00025</w:t>
                        </w:r>
                      </w:p>
                    </w:tc>
                  </w:tr>
                  <w:tr>
                    <w:trPr>
                      <w:trHeight w:val="221" w:hRule="atLeast"/>
                      <w:cantSplit w:val="false"/>
                    </w:trPr>
                    <w:tc>
                      <w:tcPr>
                        <w:tcW w:w="4112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Henry José Ackermann Garcia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N° 10268523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</w:tcPr>
                      <w:p>
                        <w:pPr>
                          <w:pStyle w:val="Normal"/>
                          <w:suppressAutoHyphens w:val="false"/>
                          <w:spacing w:lineRule="atLeast" w:line="221" w:before="0" w:after="0"/>
                          <w:jc w:val="both"/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lang w:eastAsia="es-PE"/>
                          </w:rPr>
                          <w:t>C00027</w:t>
                        </w:r>
                      </w:p>
                    </w:tc>
                  </w:tr>
                </w:tbl>
                <w:p>
                  <w:pPr>
                    <w:pStyle w:val="Contenidodelmarco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eastAsia="Times New Roman" w:cs="Arial"/>
          <w:color w:val="000000"/>
          <w:shd w:fill="FFFFFF" w:val="clear"/>
          <w:lang w:eastAsia="es-PE"/>
        </w:rPr>
      </w:pPr>
      <w:r>
        <w:rPr>
          <w:rFonts w:eastAsia="Times New Roman" w:cs="Arial"/>
          <w:color w:val="000000"/>
          <w:lang w:eastAsia="es-PE"/>
        </w:rPr>
        <w:t>Y de l</w:t>
      </w:r>
      <w:r>
        <w:rPr>
          <w:rFonts w:eastAsia="Times New Roman" w:cs="Arial"/>
          <w:color w:val="000000"/>
          <w:shd w:fill="FFFFFF" w:val="clear"/>
          <w:lang w:eastAsia="es-PE"/>
        </w:rPr>
        <w:t>a otra parte: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eastAsia="Times New Roman" w:cs="Arial"/>
          <w:color w:val="000000"/>
          <w:shd w:fill="FFFFFF" w:val="clear"/>
          <w:lang w:eastAsia="es-PE"/>
        </w:rPr>
      </w:pPr>
      <w:r>
        <w:rPr>
          <w:rFonts w:eastAsia="Times New Roman" w:cs="Arial"/>
          <w:color w:val="000000"/>
          <w:shd w:fill="FFFFFF" w:val="clear"/>
          <w:lang w:eastAsia="es-PE"/>
        </w:rPr>
        <w:t> 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eastAsia="Times New Roman" w:cs="Arial"/>
          <w:bCs/>
          <w:color w:val="000000"/>
          <w:shd w:fill="FFFFFF" w:val="clear"/>
          <w:lang w:eastAsia="es-PE"/>
        </w:rPr>
      </w:pPr>
      <w:r>
        <w:rPr>
          <w:rFonts w:eastAsia="Times New Roman" w:cs="Arial"/>
          <w:color w:val="000000"/>
          <w:shd w:fill="FFFFFF" w:val="clear"/>
          <w:lang w:eastAsia="es-PE"/>
        </w:rPr>
        <w:t xml:space="preserve">El señor 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${NOMCLIENTE}</w:t>
      </w:r>
      <w:r>
        <w:rPr>
          <w:rFonts w:eastAsia="Times New Roman" w:cs="Arial"/>
          <w:color w:val="000000"/>
          <w:shd w:fill="FFFFFF" w:val="clear"/>
          <w:lang w:eastAsia="es-PE"/>
        </w:rPr>
        <w:t>, de nacionalidad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${NACIONALIDAD}</w:t>
      </w:r>
      <w:r>
        <w:rPr>
          <w:rFonts w:eastAsia="Times New Roman" w:cs="Arial"/>
          <w:color w:val="000000"/>
          <w:shd w:fill="FFFFFF" w:val="clear"/>
          <w:lang w:eastAsia="es-PE"/>
        </w:rPr>
        <w:t>, identificado/a con DNI Nº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${DNICLIENTE}</w:t>
      </w:r>
      <w:r>
        <w:rPr>
          <w:rFonts w:eastAsia="Times New Roman" w:cs="Arial"/>
          <w:color w:val="000000"/>
          <w:shd w:fill="FFFFFF" w:val="clear"/>
          <w:lang w:eastAsia="es-PE"/>
        </w:rPr>
        <w:t>, de estado civil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${ESTADOCIVIL}</w:t>
      </w:r>
      <w:r>
        <w:rPr>
          <w:rFonts w:eastAsia="Times New Roman" w:cs="Arial"/>
          <w:color w:val="000000"/>
          <w:shd w:fill="FFFFFF" w:val="clear"/>
          <w:lang w:eastAsia="es-PE"/>
        </w:rPr>
        <w:t>, con domicilio en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${DIRECCION}</w:t>
      </w:r>
      <w:r>
        <w:rPr>
          <w:rFonts w:eastAsia="Times New Roman" w:cs="Arial"/>
          <w:color w:val="000000"/>
          <w:shd w:fill="FFFFFF" w:val="clear"/>
          <w:lang w:eastAsia="es-PE"/>
        </w:rPr>
        <w:t>, distrito de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[*]</w:t>
      </w:r>
      <w:r>
        <w:rPr>
          <w:rFonts w:eastAsia="Times New Roman" w:cs="Arial"/>
          <w:color w:val="000000"/>
          <w:shd w:fill="FFFFFF" w:val="clear"/>
          <w:lang w:eastAsia="es-PE"/>
        </w:rPr>
        <w:t>, provincia de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[*]</w:t>
      </w:r>
      <w:r>
        <w:rPr>
          <w:rFonts w:eastAsia="Times New Roman" w:cs="Arial"/>
          <w:color w:val="000000"/>
          <w:shd w:fill="FFFFFF" w:val="clear"/>
          <w:lang w:eastAsia="es-PE"/>
        </w:rPr>
        <w:t> y departamento de 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[*]</w:t>
      </w:r>
      <w:r>
        <w:rPr>
          <w:rFonts w:eastAsia="Times New Roman" w:cs="Arial"/>
          <w:color w:val="000000"/>
          <w:shd w:fill="FFFFFF" w:val="clear"/>
          <w:lang w:eastAsia="es-PE"/>
        </w:rPr>
        <w:t>,</w:t>
      </w:r>
      <w:bookmarkStart w:id="1" w:name="m_4745322770162788201_OLE_LINK3"/>
      <w:bookmarkStart w:id="2" w:name="m_4745322770162788201_OLE_LINK4"/>
      <w:bookmarkEnd w:id="2"/>
      <w:r>
        <w:rPr>
          <w:rFonts w:eastAsia="Times New Roman" w:cs="Arial"/>
          <w:color w:val="000000"/>
          <w:shd w:fill="FFFFFF" w:val="clear"/>
          <w:lang w:eastAsia="es-PE"/>
        </w:rPr>
        <w:t xml:space="preserve"> con correo electrónico: ${CORREO} a quien en adelante se le (s) denominará “</w:t>
      </w:r>
      <w:r>
        <w:rPr>
          <w:rFonts w:eastAsia="Times New Roman" w:cs="Arial"/>
          <w:b/>
          <w:bCs/>
          <w:color w:val="000000"/>
          <w:shd w:fill="FFFFFF" w:val="clear"/>
          <w:lang w:eastAsia="es-PE"/>
        </w:rPr>
        <w:t>EL(LOS) COMPRADOR(ES)</w:t>
      </w:r>
      <w:r>
        <w:rPr>
          <w:rFonts w:eastAsia="Times New Roman" w:cs="Arial"/>
          <w:bCs/>
          <w:color w:val="000000"/>
          <w:shd w:fill="FFFFFF" w:val="clear"/>
          <w:lang w:eastAsia="es-PE"/>
        </w:rPr>
        <w:t>”; conjuntamente denominados como “</w:t>
      </w:r>
      <w:r>
        <w:rPr>
          <w:rFonts w:eastAsia="Times New Roman" w:cs="Arial"/>
          <w:b/>
          <w:bCs/>
          <w:color w:val="000000"/>
          <w:shd w:fill="FFFFFF" w:val="clear"/>
          <w:lang w:eastAsia="es-PE"/>
        </w:rPr>
        <w:t>LAS PARTES</w:t>
      </w:r>
      <w:bookmarkEnd w:id="1"/>
      <w:r>
        <w:rPr>
          <w:rFonts w:eastAsia="Times New Roman" w:cs="Arial"/>
          <w:bCs/>
          <w:color w:val="000000"/>
          <w:shd w:fill="FFFFFF" w:val="clear"/>
          <w:lang w:eastAsia="es-PE"/>
        </w:rPr>
        <w:t>”, de acuerdo a los términos y condiciones siguientes: </w:t>
      </w:r>
    </w:p>
    <w:p>
      <w:pPr>
        <w:pStyle w:val="Normal"/>
        <w:tabs>
          <w:tab w:val="left" w:pos="3756" w:leader="none"/>
        </w:tabs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rFonts w:eastAsia="Arial" w:cs="Arial"/>
          <w:b/>
          <w:shd w:fill="FFFFFF" w:val="clear"/>
        </w:rPr>
      </w:pPr>
      <w:r>
        <w:rPr>
          <w:rFonts w:eastAsia="Arial" w:cs="Arial"/>
          <w:b/>
          <w:u w:val="single"/>
          <w:shd w:fill="FFFFFF" w:val="clear"/>
        </w:rPr>
        <w:t>PRIMERA</w:t>
      </w:r>
      <w:r>
        <w:rPr>
          <w:rFonts w:eastAsia="Arial" w:cs="Arial"/>
          <w:b/>
          <w:shd w:fill="FFFFFF" w:val="clear"/>
        </w:rPr>
        <w:t>: ANTECEDENTES</w:t>
      </w:r>
    </w:p>
    <w:p>
      <w:pPr>
        <w:pStyle w:val="Normal"/>
        <w:spacing w:lineRule="auto" w:line="240" w:before="0" w:after="0"/>
        <w:jc w:val="both"/>
        <w:rPr>
          <w:rFonts w:eastAsia="Arial" w:cs="Arial"/>
          <w:b/>
          <w:shd w:fill="FFFFFF" w:val="clear"/>
        </w:rPr>
      </w:pPr>
      <w:r>
        <w:rPr>
          <w:rFonts w:eastAsia="Arial" w:cs="Arial"/>
          <w:b/>
          <w:shd w:fill="FFFFFF" w:val="clear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b/>
          <w:shd w:fill="FFFFFF" w:val="clear"/>
        </w:rPr>
        <w:t xml:space="preserve">EL VENDEDOR </w:t>
      </w:r>
      <w:r>
        <w:rPr>
          <w:rFonts w:eastAsia="Arial" w:cs="Arial"/>
          <w:shd w:fill="FFFFFF" w:val="clear"/>
        </w:rPr>
        <w:t>es propietario del terreno denominado Sub Lote 1, Unidad Catastral 04377, Predio La Cruz del Valle Moche, Distrito de Moche, Provincia de Trujillo, Región La Libertad, inscrito en la Partida N° 11263037 del Registro de Propiedad Inmueble de Trujillo (en adelante, “</w:t>
      </w:r>
      <w:r>
        <w:rPr>
          <w:rFonts w:eastAsia="Arial" w:cs="Arial"/>
          <w:b/>
          <w:shd w:fill="FFFFFF" w:val="clear"/>
        </w:rPr>
        <w:t>EL TERRENO</w:t>
      </w:r>
      <w:r>
        <w:rPr>
          <w:rFonts w:eastAsia="Arial" w:cs="Arial"/>
          <w:shd w:fill="FFFFFF" w:val="clear"/>
        </w:rPr>
        <w:t>”).</w:t>
      </w:r>
    </w:p>
    <w:p>
      <w:pPr>
        <w:pStyle w:val="Normal"/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  <w:t xml:space="preserve">Sobre </w:t>
      </w:r>
      <w:r>
        <w:rPr>
          <w:rFonts w:eastAsia="Arial" w:cs="Arial"/>
          <w:b/>
          <w:shd w:fill="FFFFFF" w:val="clear"/>
        </w:rPr>
        <w:t>EL TERRENO</w:t>
      </w:r>
      <w:r>
        <w:rPr>
          <w:rFonts w:eastAsia="Arial" w:cs="Arial"/>
          <w:shd w:fill="FFFFFF" w:val="clear"/>
        </w:rPr>
        <w:t xml:space="preserve">, </w:t>
      </w:r>
      <w:r>
        <w:rPr>
          <w:rFonts w:eastAsia="Arial" w:cs="Arial"/>
          <w:b/>
          <w:shd w:fill="FFFFFF" w:val="clear"/>
        </w:rPr>
        <w:t>EL VENDEDOR</w:t>
      </w:r>
      <w:r>
        <w:rPr>
          <w:rFonts w:eastAsia="Arial" w:cs="Arial"/>
          <w:shd w:fill="FFFFFF" w:val="clear"/>
        </w:rPr>
        <w:t xml:space="preserve"> tiene proyectado construir un conjunto Residencial de Viviendas denominado “${NOMPROYECTO}” (en adelante, el Proyecto). </w:t>
      </w:r>
      <w:r>
        <w:rPr>
          <w:rFonts w:eastAsia="Arial" w:cs="Arial"/>
          <w:b/>
          <w:shd w:fill="FFFFFF" w:val="clear"/>
        </w:rPr>
        <w:t>EL COMPRADOR</w:t>
      </w:r>
      <w:r>
        <w:rPr>
          <w:rFonts w:eastAsia="Arial" w:cs="Arial"/>
          <w:shd w:fill="FFFFFF" w:val="clear"/>
        </w:rPr>
        <w:t xml:space="preserve"> tiene interés en adquirir una de las viviendas que se construirá en el Proyecto, la misma que se encuentra ubicada en la Etapa ${CODETAPA}, Manzana </w:t>
      </w:r>
      <w:r>
        <w:rPr>
          <w:rFonts w:eastAsia="Arial" w:cs="Arial"/>
          <w:bCs/>
          <w:color w:val="000000"/>
          <w:shd w:fill="FFFFFF" w:val="clear"/>
          <w:lang w:eastAsia="es-PE"/>
        </w:rPr>
        <w:t>${CODMANZANA}</w:t>
      </w:r>
      <w:r>
        <w:rPr>
          <w:rFonts w:eastAsia="Arial" w:cs="Arial"/>
          <w:shd w:fill="FFFFFF" w:val="clear"/>
        </w:rPr>
        <w:t xml:space="preserve">, Lote </w:t>
      </w:r>
      <w:r>
        <w:rPr>
          <w:rFonts w:eastAsia="Arial" w:cs="Arial"/>
          <w:bCs/>
          <w:color w:val="000000"/>
          <w:shd w:fill="FFFFFF" w:val="clear"/>
          <w:lang w:eastAsia="es-PE"/>
        </w:rPr>
        <w:t>${NUMLOTE}</w:t>
      </w:r>
      <w:r>
        <w:rPr>
          <w:rFonts w:eastAsia="Arial" w:cs="Arial"/>
          <w:shd w:fill="FFFFFF" w:val="clear"/>
        </w:rPr>
        <w:t xml:space="preserve">, cuya área de terreno aproximada es de </w:t>
      </w:r>
      <w:r>
        <w:rPr>
          <w:rFonts w:eastAsia="Arial" w:cs="Arial"/>
          <w:bCs/>
          <w:color w:val="000000"/>
          <w:shd w:fill="FFFFFF" w:val="clear"/>
          <w:lang w:eastAsia="es-PE"/>
        </w:rPr>
        <w:t>${MTS2TERRENO}</w:t>
      </w:r>
      <w:r>
        <w:rPr>
          <w:rFonts w:eastAsia="Arial" w:cs="Arial"/>
          <w:shd w:fill="FFFFFF" w:val="clear"/>
        </w:rPr>
        <w:t xml:space="preserve"> m2 y área construida y techada aproximada es de </w:t>
      </w:r>
      <w:r>
        <w:rPr>
          <w:rFonts w:eastAsia="Arial" w:cs="Arial"/>
          <w:bCs/>
          <w:color w:val="000000"/>
          <w:shd w:fill="FFFFFF" w:val="clear"/>
          <w:lang w:eastAsia="es-PE"/>
        </w:rPr>
        <w:t>${MTS2CONSTRUIDO}</w:t>
      </w:r>
      <w:r>
        <w:rPr>
          <w:rFonts w:eastAsia="Arial" w:cs="Arial"/>
          <w:shd w:fill="FFFFFF" w:val="clear"/>
        </w:rPr>
        <w:t xml:space="preserve"> m2 (en adelante, “</w:t>
      </w:r>
      <w:r>
        <w:rPr>
          <w:rFonts w:eastAsia="Arial" w:cs="Arial"/>
          <w:b/>
          <w:shd w:fill="FFFFFF" w:val="clear"/>
        </w:rPr>
        <w:t>EL INMUEBLE</w:t>
      </w:r>
      <w:r>
        <w:rPr>
          <w:rFonts w:eastAsia="Arial" w:cs="Arial"/>
          <w:shd w:fill="FFFFFF" w:val="clear"/>
        </w:rPr>
        <w:t xml:space="preserve">”). El conjunto Residencial de Viviendas indicado no está sujeto al Régimen de Unidades Inmobiliarias de Propiedad Exclusiva y de Propiedad Común. </w:t>
      </w:r>
    </w:p>
    <w:p>
      <w:pPr>
        <w:pStyle w:val="Normal"/>
        <w:spacing w:lineRule="auto" w:line="240" w:before="0" w:after="0"/>
        <w:ind w:left="708" w:right="0" w:hanging="0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eastAsia="Arial" w:cs="Arial"/>
          <w:shd w:fill="FFFFFF" w:val="clear"/>
        </w:rPr>
      </w:pPr>
      <w:r>
        <w:rPr>
          <w:rFonts w:eastAsia="Arial" w:cs="Arial"/>
          <w:shd w:fill="FFFFFF" w:val="clear"/>
        </w:rPr>
        <w:t>Las características del</w:t>
      </w:r>
      <w:r>
        <w:rPr>
          <w:rFonts w:eastAsia="Arial" w:cs="Arial"/>
          <w:b/>
          <w:shd w:fill="FFFFFF" w:val="clear"/>
        </w:rPr>
        <w:t xml:space="preserve"> INMUEBLE </w:t>
      </w:r>
      <w:r>
        <w:rPr>
          <w:rFonts w:eastAsia="Arial" w:cs="Arial"/>
          <w:shd w:fill="FFFFFF" w:val="clear"/>
        </w:rPr>
        <w:t xml:space="preserve">se encuentran descritas en el proyecto de arquitectura que </w:t>
      </w:r>
      <w:r>
        <w:rPr>
          <w:rFonts w:eastAsia="Arial" w:cs="Arial"/>
          <w:b/>
          <w:shd w:fill="FFFFFF" w:val="clear"/>
        </w:rPr>
        <w:t>EL COMPRADOR</w:t>
      </w:r>
      <w:r>
        <w:rPr>
          <w:rFonts w:eastAsia="Arial" w:cs="Arial"/>
          <w:shd w:fill="FFFFFF" w:val="clear"/>
        </w:rPr>
        <w:t xml:space="preserve"> declara conocer. No obstante ello, </w:t>
      </w:r>
      <w:r>
        <w:rPr>
          <w:rFonts w:eastAsia="Arial" w:cs="Arial"/>
          <w:b/>
          <w:shd w:fill="FFFFFF" w:val="clear"/>
        </w:rPr>
        <w:t xml:space="preserve">EL COMPRADOR </w:t>
      </w:r>
      <w:r>
        <w:rPr>
          <w:rFonts w:eastAsia="Arial" w:cs="Arial"/>
          <w:shd w:fill="FFFFFF" w:val="clear"/>
        </w:rPr>
        <w:t>acepta, desde ya, que las áreas y linderos definitivos serán los establecidos a la terminación del Proyecto y se sujetarán a lo señalado en la Conformidad de Obra o documento similar o análogo que otorgue la Municipalidad correspondiente. Actualmente el Proyecto se encuentra en la etapa de desarrollo.</w:t>
      </w:r>
    </w:p>
    <w:p>
      <w:pPr>
        <w:pStyle w:val="Normal"/>
        <w:spacing w:lineRule="auto" w:line="240" w:before="0" w:after="0"/>
        <w:ind w:left="708" w:right="0" w:hanging="0"/>
        <w:rPr>
          <w:rFonts w:eastAsia="Arial" w:cs="Arial"/>
          <w:sz w:val="24"/>
          <w:shd w:fill="FFFFFF" w:val="clear"/>
        </w:rPr>
      </w:pPr>
      <w:r>
        <w:rPr>
          <w:rFonts w:eastAsia="Arial" w:cs="Arial"/>
          <w:sz w:val="24"/>
          <w:shd w:fill="FFFFFF" w:val="clear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jc w:val="both"/>
        <w:rPr>
          <w:rFonts w:eastAsia="Arial" w:cs="Arial"/>
        </w:rPr>
      </w:pPr>
      <w:r>
        <w:rPr>
          <w:rFonts w:eastAsia="Arial" w:cs="Arial"/>
        </w:rPr>
        <w:t>Forman parte integrante del presente Contrato los siguientes anexos debidamente suscritos por las Partes:</w:t>
      </w:r>
    </w:p>
    <w:p>
      <w:pPr>
        <w:pStyle w:val="Normal"/>
        <w:spacing w:lineRule="auto" w:line="240" w:before="0" w:after="0"/>
        <w:ind w:left="540" w:right="0" w:hanging="540"/>
        <w:jc w:val="both"/>
        <w:rPr>
          <w:rFonts w:eastAsia="Arial" w:cs="Arial"/>
          <w:shd w:fill="FFFF00" w:val="clear"/>
        </w:rPr>
      </w:pPr>
      <w:r>
        <w:rPr>
          <w:rFonts w:eastAsia="Arial" w:cs="Arial"/>
          <w:shd w:fill="FFFF00" w:val="clea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Las Especificaciones Técnicas y la relación de acabados del</w:t>
      </w:r>
      <w:r>
        <w:rPr>
          <w:rFonts w:eastAsia="Arial" w:cs="Arial"/>
          <w:b/>
        </w:rPr>
        <w:t xml:space="preserve"> INMUEBLE</w:t>
      </w:r>
      <w:r>
        <w:rPr>
          <w:rFonts w:eastAsia="Arial" w:cs="Arial"/>
        </w:rPr>
        <w:t xml:space="preserve"> que consta en el Anexo 1.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El Plano de Distribución del</w:t>
      </w:r>
      <w:r>
        <w:rPr>
          <w:rFonts w:eastAsia="Arial" w:cs="Arial"/>
          <w:b/>
        </w:rPr>
        <w:t xml:space="preserve"> INMUEBLE </w:t>
      </w:r>
      <w:r>
        <w:rPr>
          <w:rFonts w:eastAsia="Arial" w:cs="Arial"/>
        </w:rPr>
        <w:t>que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>consta en el Anexo 2.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El Plano Perimétrico y la Memoria Descriptiva del</w:t>
      </w:r>
      <w:r>
        <w:rPr>
          <w:rFonts w:eastAsia="Arial" w:cs="Arial"/>
          <w:b/>
        </w:rPr>
        <w:t xml:space="preserve"> TERRENO </w:t>
      </w:r>
      <w:r>
        <w:rPr>
          <w:rFonts w:eastAsia="Arial" w:cs="Arial"/>
        </w:rPr>
        <w:t>que consta en el Anexo 3.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El Plano de Ubicación del</w:t>
      </w:r>
      <w:r>
        <w:rPr>
          <w:rFonts w:eastAsia="Arial" w:cs="Arial"/>
          <w:b/>
        </w:rPr>
        <w:t xml:space="preserve"> INMUEBLE</w:t>
      </w:r>
      <w:r>
        <w:rPr>
          <w:rFonts w:eastAsia="Arial" w:cs="Arial"/>
        </w:rPr>
        <w:t xml:space="preserve"> que consta en el Anexo 4.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La Resolución de aprobación de la licencia de habilitación urbana que consta en el Anexo 5.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El Plano de aprobación del Proyecto de Habilitación Urbana que consta en el Anexo 6.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1134" w:right="0" w:hanging="360"/>
        <w:jc w:val="both"/>
        <w:rPr>
          <w:rFonts w:eastAsia="Arial" w:cs="Arial"/>
        </w:rPr>
      </w:pPr>
      <w:r>
        <w:rPr>
          <w:rFonts w:eastAsia="Arial" w:cs="Arial"/>
        </w:rPr>
        <w:t>De los servicios públicos domiciliarios y de las características de la habilitación urbana que consta en el Anexo 7.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s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s" w:eastAsia="zh-CN" w:bidi="hi-IN"/>
    </w:rPr>
  </w:style>
  <w:style w:type="paragraph" w:styleId="Encabezado1">
    <w:name w:val="Encabezado 1"/>
    <w:basedOn w:val="Encabezado"/>
    <w:next w:val="Normal"/>
    <w:pPr>
      <w:keepNext/>
      <w:keepLines/>
      <w:widowControl/>
      <w:suppressAutoHyphens w:val="true"/>
      <w:bidi w:val="0"/>
      <w:spacing w:lineRule="auto" w:line="240" w:before="400" w:after="120"/>
      <w:contextualSpacing/>
      <w:jc w:val="left"/>
    </w:pPr>
    <w:rPr>
      <w:rFonts w:ascii="Arial" w:hAnsi="Arial" w:eastAsia="Arial" w:cs="Arial"/>
      <w:color w:val="000000"/>
      <w:sz w:val="40"/>
      <w:szCs w:val="40"/>
      <w:lang w:val="es" w:eastAsia="zh-CN" w:bidi="hi-IN"/>
    </w:rPr>
  </w:style>
  <w:style w:type="paragraph" w:styleId="Encabezado2">
    <w:name w:val="Encabezado 2"/>
    <w:basedOn w:val="Encabezado"/>
    <w:next w:val="Normal"/>
    <w:pPr>
      <w:keepNext/>
      <w:keepLines/>
      <w:widowControl/>
      <w:suppressAutoHyphens w:val="true"/>
      <w:bidi w:val="0"/>
      <w:spacing w:lineRule="auto" w:line="240" w:before="360" w:after="120"/>
      <w:contextualSpacing/>
      <w:jc w:val="left"/>
    </w:pPr>
    <w:rPr>
      <w:rFonts w:ascii="Arial" w:hAnsi="Arial" w:eastAsia="Arial" w:cs="Arial"/>
      <w:b w:val="false"/>
      <w:color w:val="000000"/>
      <w:sz w:val="32"/>
      <w:szCs w:val="32"/>
      <w:lang w:val="es" w:eastAsia="zh-CN" w:bidi="hi-IN"/>
    </w:rPr>
  </w:style>
  <w:style w:type="paragraph" w:styleId="Encabezado3">
    <w:name w:val="Encabezado 3"/>
    <w:basedOn w:val="Encabezado"/>
    <w:next w:val="Normal"/>
    <w:pPr>
      <w:keepNext/>
      <w:keepLines/>
      <w:widowControl/>
      <w:suppressAutoHyphens w:val="true"/>
      <w:bidi w:val="0"/>
      <w:spacing w:lineRule="auto" w:line="240" w:before="320" w:after="80"/>
      <w:contextualSpacing/>
      <w:jc w:val="left"/>
    </w:pPr>
    <w:rPr>
      <w:rFonts w:ascii="Arial" w:hAnsi="Arial" w:eastAsia="Arial" w:cs="Arial"/>
      <w:b w:val="false"/>
      <w:color w:val="434343"/>
      <w:sz w:val="28"/>
      <w:szCs w:val="28"/>
      <w:lang w:val="es" w:eastAsia="zh-CN" w:bidi="hi-IN"/>
    </w:rPr>
  </w:style>
  <w:style w:type="paragraph" w:styleId="Encabezado4">
    <w:name w:val="Encabezado 4"/>
    <w:basedOn w:val="Encabezado"/>
    <w:next w:val="Normal"/>
    <w:pPr>
      <w:keepNext/>
      <w:keepLines/>
      <w:widowControl/>
      <w:suppressAutoHyphens w:val="true"/>
      <w:bidi w:val="0"/>
      <w:spacing w:lineRule="auto" w:line="240" w:before="280" w:after="80"/>
      <w:contextualSpacing/>
      <w:jc w:val="left"/>
    </w:pPr>
    <w:rPr>
      <w:rFonts w:ascii="Arial" w:hAnsi="Arial" w:eastAsia="Arial" w:cs="Arial"/>
      <w:color w:val="666666"/>
      <w:sz w:val="24"/>
      <w:szCs w:val="24"/>
      <w:lang w:val="es" w:eastAsia="zh-CN" w:bidi="hi-IN"/>
    </w:rPr>
  </w:style>
  <w:style w:type="paragraph" w:styleId="Encabezado5">
    <w:name w:val="Encabezado 5"/>
    <w:basedOn w:val="Encabezado"/>
    <w:next w:val="Normal"/>
    <w:pPr>
      <w:keepNext/>
      <w:keepLines/>
      <w:widowControl/>
      <w:suppressAutoHyphens w:val="true"/>
      <w:bidi w:val="0"/>
      <w:spacing w:lineRule="auto" w:line="240" w:before="240" w:after="80"/>
      <w:contextualSpacing/>
      <w:jc w:val="left"/>
    </w:pPr>
    <w:rPr>
      <w:rFonts w:ascii="Arial" w:hAnsi="Arial" w:eastAsia="Arial" w:cs="Arial"/>
      <w:color w:val="666666"/>
      <w:sz w:val="22"/>
      <w:szCs w:val="22"/>
      <w:lang w:val="es" w:eastAsia="zh-CN" w:bidi="hi-IN"/>
    </w:rPr>
  </w:style>
  <w:style w:type="paragraph" w:styleId="Encabezado6">
    <w:name w:val="Encabezado 6"/>
    <w:basedOn w:val="Encabezado"/>
    <w:next w:val="Normal"/>
    <w:pPr>
      <w:keepNext/>
      <w:keepLines/>
      <w:widowControl/>
      <w:suppressAutoHyphens w:val="true"/>
      <w:bidi w:val="0"/>
      <w:spacing w:lineRule="auto" w:line="240" w:before="240" w:after="80"/>
      <w:contextualSpacing/>
      <w:jc w:val="left"/>
    </w:pPr>
    <w:rPr>
      <w:rFonts w:ascii="Arial" w:hAnsi="Arial" w:eastAsia="Arial" w:cs="Arial"/>
      <w:i/>
      <w:color w:val="666666"/>
      <w:sz w:val="22"/>
      <w:szCs w:val="22"/>
      <w:lang w:val="es" w:eastAsia="zh-CN" w:bidi="hi-IN"/>
    </w:rPr>
  </w:style>
  <w:style w:type="character" w:styleId="ListLabel1">
    <w:name w:val="ListLabel 1"/>
    <w:rPr>
      <w:rFonts w:eastAsia="Arial" w:cs="Arial"/>
      <w:b/>
    </w:rPr>
  </w:style>
  <w:style w:type="character" w:styleId="ListLabel2">
    <w:name w:val="ListLabel 2"/>
    <w:rPr>
      <w:b/>
    </w:rPr>
  </w:style>
  <w:style w:type="character" w:styleId="ListLabel3">
    <w:name w:val="ListLabel 3"/>
    <w:rPr>
      <w:b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b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b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LOnormal" w:default="1">
    <w:name w:val="LO-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s" w:eastAsia="zh-CN" w:bidi="hi-IN"/>
    </w:rPr>
  </w:style>
  <w:style w:type="paragraph" w:styleId="Ttulo">
    <w:name w:val="Título"/>
    <w:basedOn w:val="LOnormal"/>
    <w:next w:val="Normal"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Subttulo">
    <w:name w:val="Subtítulo"/>
    <w:basedOn w:val="LOnormal"/>
    <w:next w:val="Normal"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Contenidodelmarco">
    <w:name w:val="Contenido del marco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es-ES</dc:language>
  <cp:revision>0</cp:revision>
</cp:coreProperties>
</file>